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37" w:rsidRPr="0008623D" w:rsidRDefault="00366537" w:rsidP="000F5A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4953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2pt;visibility:visible">
            <v:imagedata r:id="rId5" o:title=""/>
          </v:shape>
        </w:pict>
      </w:r>
    </w:p>
    <w:p w:rsidR="00366537" w:rsidRDefault="00366537" w:rsidP="000F5A81">
      <w:pPr>
        <w:tabs>
          <w:tab w:val="left" w:pos="9072"/>
        </w:tabs>
        <w:jc w:val="center"/>
        <w:rPr>
          <w:rFonts w:ascii="TimesET" w:hAnsi="TimesET" w:cs="TimesET"/>
        </w:rPr>
      </w:pPr>
      <w:r>
        <w:rPr>
          <w:noProof/>
        </w:rPr>
        <w:pict>
          <v:rect id="Прямоугольник 3" o:spid="_x0000_s1026" style="position:absolute;left:0;text-align:left;margin-left:148.35pt;margin-top:4.8pt;width:3in;height:1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" filled="f" stroked="f" strokeweight="0">
            <v:textbox inset="0,0,0,0">
              <w:txbxContent>
                <w:p w:rsidR="00366537" w:rsidRPr="000B5675" w:rsidRDefault="00366537" w:rsidP="000F5A81">
                  <w:pPr>
                    <w:ind w:firstLine="0"/>
                    <w:rPr>
                      <w:rFonts w:ascii="Baltica" w:hAnsi="Baltica" w:cs="Baltica"/>
                      <w:b/>
                      <w:bCs/>
                      <w:sz w:val="18"/>
                      <w:szCs w:val="18"/>
                    </w:rPr>
                  </w:pPr>
                  <w:r w:rsidRPr="000B5675">
                    <w:rPr>
                      <w:rFonts w:ascii="Baltica" w:hAnsi="Baltica" w:cs="Baltica"/>
                      <w:b/>
                      <w:bCs/>
                      <w:sz w:val="18"/>
                      <w:szCs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366537" w:rsidRPr="000B5675" w:rsidRDefault="00366537" w:rsidP="000F5A81">
      <w:pPr>
        <w:tabs>
          <w:tab w:val="left" w:pos="9072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</w:t>
      </w:r>
      <w:r w:rsidRPr="000B5675">
        <w:rPr>
          <w:rFonts w:ascii="Times New Roman" w:hAnsi="Times New Roman" w:cs="Times New Roman"/>
          <w:b/>
          <w:bCs/>
          <w:sz w:val="22"/>
          <w:szCs w:val="22"/>
        </w:rPr>
        <w:t xml:space="preserve"> Бельского района </w:t>
      </w:r>
    </w:p>
    <w:p w:rsidR="00366537" w:rsidRPr="000B5675" w:rsidRDefault="00366537" w:rsidP="000F5A81">
      <w:pPr>
        <w:tabs>
          <w:tab w:val="left" w:pos="9072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5675">
        <w:rPr>
          <w:rFonts w:ascii="Times New Roman" w:hAnsi="Times New Roman" w:cs="Times New Roman"/>
          <w:b/>
          <w:bCs/>
          <w:sz w:val="22"/>
          <w:szCs w:val="22"/>
        </w:rPr>
        <w:t xml:space="preserve">Тверской области </w:t>
      </w:r>
    </w:p>
    <w:p w:rsidR="00366537" w:rsidRDefault="00366537" w:rsidP="000F5A81">
      <w:r>
        <w:rPr>
          <w:noProof/>
        </w:rPr>
        <w:pict>
          <v:line id="Прямая соединительная линия 2" o:spid="_x0000_s1027" style="position:absolute;left:0;text-align:left;z-index:251659264;visibility:visible" from="-25.65pt,5.25pt" to="5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" strokeweight="2pt"/>
        </w:pict>
      </w:r>
    </w:p>
    <w:p w:rsidR="00366537" w:rsidRPr="00EC767B" w:rsidRDefault="00366537" w:rsidP="000F5A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67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537" w:rsidRDefault="00366537" w:rsidP="000F5A81">
      <w:pPr>
        <w:ind w:firstLine="0"/>
        <w:jc w:val="center"/>
        <w:rPr>
          <w:b/>
          <w:bCs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827"/>
      </w:tblGrid>
      <w:tr w:rsidR="00366537" w:rsidTr="0051635F">
        <w:tc>
          <w:tcPr>
            <w:tcW w:w="6166" w:type="dxa"/>
          </w:tcPr>
          <w:p w:rsidR="00366537" w:rsidRDefault="00366537" w:rsidP="0051635F">
            <w:pPr>
              <w:ind w:firstLine="0"/>
              <w:rPr>
                <w:rFonts w:ascii="Baltica" w:hAnsi="Baltica" w:cs="Baltica"/>
                <w:sz w:val="26"/>
                <w:szCs w:val="26"/>
              </w:rPr>
            </w:pPr>
            <w:r>
              <w:rPr>
                <w:rFonts w:ascii="Times New Roman" w:hAnsi="Times New Roman" w:cs="Baltica"/>
                <w:b/>
                <w:bCs/>
                <w:sz w:val="24"/>
                <w:szCs w:val="24"/>
              </w:rPr>
              <w:t>28.07.</w:t>
            </w:r>
            <w:r w:rsidRPr="00FB0986">
              <w:rPr>
                <w:rFonts w:ascii="Times New Roman" w:hAnsi="Times New Roman" w:cs="Baltica"/>
                <w:b/>
                <w:bCs/>
                <w:sz w:val="24"/>
                <w:szCs w:val="24"/>
              </w:rPr>
              <w:t>2015 г.</w:t>
            </w:r>
            <w:r>
              <w:rPr>
                <w:rFonts w:ascii="Baltica" w:hAnsi="Baltica" w:cs="Baltica"/>
                <w:b/>
                <w:bCs/>
                <w:sz w:val="22"/>
                <w:szCs w:val="22"/>
              </w:rPr>
              <w:t>г. Белый</w:t>
            </w:r>
          </w:p>
        </w:tc>
        <w:tc>
          <w:tcPr>
            <w:tcW w:w="3827" w:type="dxa"/>
          </w:tcPr>
          <w:p w:rsidR="00366537" w:rsidRPr="00FB0986" w:rsidRDefault="00366537" w:rsidP="00AA015A">
            <w:pPr>
              <w:jc w:val="center"/>
              <w:rPr>
                <w:rFonts w:ascii="Times New Roman" w:hAnsi="Times New Roman" w:cs="Baltica"/>
                <w:b/>
                <w:bCs/>
                <w:sz w:val="24"/>
                <w:szCs w:val="24"/>
              </w:rPr>
            </w:pPr>
            <w:r w:rsidRPr="00FB0986">
              <w:rPr>
                <w:rFonts w:ascii="Baltica" w:hAnsi="Baltica" w:cs="Baltica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Baltica"/>
                <w:b/>
                <w:bCs/>
                <w:sz w:val="24"/>
                <w:szCs w:val="24"/>
              </w:rPr>
              <w:t xml:space="preserve"> 111</w:t>
            </w:r>
          </w:p>
        </w:tc>
      </w:tr>
    </w:tbl>
    <w:p w:rsidR="00366537" w:rsidRPr="00FC26AB" w:rsidRDefault="00366537" w:rsidP="000F5A81"/>
    <w:tbl>
      <w:tblPr>
        <w:tblW w:w="10267" w:type="dxa"/>
        <w:tblLook w:val="01E0"/>
      </w:tblPr>
      <w:tblGrid>
        <w:gridCol w:w="5306"/>
        <w:gridCol w:w="4961"/>
      </w:tblGrid>
      <w:tr w:rsidR="00366537" w:rsidRPr="006858DD" w:rsidTr="0051635F">
        <w:tc>
          <w:tcPr>
            <w:tcW w:w="5306" w:type="dxa"/>
          </w:tcPr>
          <w:p w:rsidR="00366537" w:rsidRDefault="00366537" w:rsidP="000F5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выполнении</w:t>
            </w:r>
          </w:p>
          <w:p w:rsidR="00366537" w:rsidRDefault="00366537" w:rsidP="000F5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построению,</w:t>
            </w:r>
          </w:p>
          <w:p w:rsidR="00366537" w:rsidRDefault="00366537" w:rsidP="000F5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внедрению и эксплуатации на</w:t>
            </w:r>
          </w:p>
          <w:p w:rsidR="00366537" w:rsidRDefault="00366537" w:rsidP="000F5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</w:t>
            </w:r>
          </w:p>
          <w:p w:rsidR="00366537" w:rsidRDefault="00366537" w:rsidP="000F5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«Бельский район»</w:t>
            </w:r>
          </w:p>
          <w:p w:rsidR="00366537" w:rsidRDefault="00366537" w:rsidP="000F5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аппаратно-программного комплекса</w:t>
            </w:r>
          </w:p>
          <w:p w:rsidR="00366537" w:rsidRPr="006858DD" w:rsidRDefault="00366537" w:rsidP="000F5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город»</w:t>
            </w:r>
          </w:p>
          <w:p w:rsidR="00366537" w:rsidRPr="006858DD" w:rsidRDefault="00366537" w:rsidP="005163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6537" w:rsidRPr="006858DD" w:rsidRDefault="00366537" w:rsidP="005163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537" w:rsidRDefault="00366537" w:rsidP="000F5A81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66537" w:rsidRDefault="00366537" w:rsidP="000F5A81"/>
    <w:p w:rsidR="00366537" w:rsidRPr="00B55AAC" w:rsidRDefault="00366537" w:rsidP="000F5A81"/>
    <w:bookmarkEnd w:id="0"/>
    <w:p w:rsidR="00366537" w:rsidRPr="000B4C46" w:rsidRDefault="00366537" w:rsidP="000B4C46">
      <w:pPr>
        <w:rPr>
          <w:rFonts w:ascii="Times New Roman" w:hAnsi="Times New Roman"/>
          <w:bCs/>
          <w:sz w:val="28"/>
          <w:szCs w:val="28"/>
        </w:rPr>
      </w:pPr>
      <w:r w:rsidRPr="001078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целях реализации Концепции построения и развития аппаратно-программного комплекса (далее-АПК) «Безопасный город», утвержденной распоряжением Правительства Российской Федерации от 3 декабря 2014 года                 № 2446-р, выполнения </w:t>
      </w:r>
      <w:r w:rsidRPr="000B4C46">
        <w:rPr>
          <w:rFonts w:ascii="Times New Roman" w:hAnsi="Times New Roman"/>
          <w:bCs/>
          <w:sz w:val="28"/>
          <w:szCs w:val="28"/>
        </w:rPr>
        <w:t>Плана по построению и развитию регионального сегментааппаратно-программного комплекса технических средств «Безопасный город» в Тверской области на 2015-2016 год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366537" w:rsidRPr="00107864" w:rsidRDefault="00366537" w:rsidP="000F5A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6537" w:rsidRPr="00226011" w:rsidRDefault="00366537" w:rsidP="000F5A81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2260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6537" w:rsidRDefault="00366537" w:rsidP="000B4C46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F5A81">
        <w:rPr>
          <w:rFonts w:ascii="Times New Roman" w:hAnsi="Times New Roman" w:cs="Times New Roman"/>
          <w:sz w:val="28"/>
          <w:szCs w:val="28"/>
        </w:rPr>
        <w:t>1. Утвердить План построения (развития) АПК «Безопасный город» на территории муниципального образования «Бельский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366537" w:rsidRDefault="00366537" w:rsidP="000B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межведомственной рабочей группе МО «Бельский район»  по построению, развитию и эксплуатации АПК «Безопасный город»;</w:t>
      </w:r>
    </w:p>
    <w:p w:rsidR="00366537" w:rsidRDefault="00366537" w:rsidP="000B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66537" w:rsidRDefault="00366537" w:rsidP="000B4C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подписания.</w:t>
      </w:r>
    </w:p>
    <w:p w:rsidR="00366537" w:rsidRDefault="00366537" w:rsidP="000F5A81">
      <w:pPr>
        <w:rPr>
          <w:rFonts w:ascii="Times New Roman" w:hAnsi="Times New Roman" w:cs="Times New Roman"/>
          <w:bCs/>
          <w:sz w:val="28"/>
          <w:szCs w:val="28"/>
        </w:rPr>
      </w:pPr>
    </w:p>
    <w:p w:rsidR="00366537" w:rsidRDefault="00366537" w:rsidP="000F5A81">
      <w:pPr>
        <w:rPr>
          <w:rFonts w:ascii="Times New Roman" w:hAnsi="Times New Roman" w:cs="Times New Roman"/>
          <w:bCs/>
          <w:sz w:val="28"/>
          <w:szCs w:val="28"/>
        </w:rPr>
      </w:pPr>
    </w:p>
    <w:p w:rsidR="00366537" w:rsidRDefault="00366537" w:rsidP="000F5A81">
      <w:pPr>
        <w:rPr>
          <w:rFonts w:ascii="Times New Roman" w:hAnsi="Times New Roman" w:cs="Times New Roman"/>
          <w:bCs/>
          <w:sz w:val="28"/>
          <w:szCs w:val="28"/>
        </w:rPr>
      </w:pPr>
    </w:p>
    <w:p w:rsidR="00366537" w:rsidRDefault="00366537" w:rsidP="000F5A81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813"/>
        <w:gridCol w:w="4758"/>
      </w:tblGrid>
      <w:tr w:rsidR="00366537" w:rsidRPr="00A56922" w:rsidTr="0051635F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37" w:rsidRDefault="00366537" w:rsidP="0051635F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ГлаваАдминистрации</w:t>
            </w:r>
          </w:p>
          <w:p w:rsidR="00366537" w:rsidRPr="00F30410" w:rsidRDefault="00366537" w:rsidP="0051635F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Бельского </w:t>
            </w:r>
            <w:r w:rsidRPr="00F30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37" w:rsidRPr="00F30410" w:rsidRDefault="00366537" w:rsidP="0051635F">
            <w:pPr>
              <w:pStyle w:val="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А.И. Титов</w:t>
            </w:r>
          </w:p>
        </w:tc>
      </w:tr>
    </w:tbl>
    <w:p w:rsidR="00366537" w:rsidRDefault="00366537" w:rsidP="000F5A81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366537" w:rsidRDefault="00366537" w:rsidP="000F5A81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66537" w:rsidRPr="00A56922" w:rsidRDefault="00366537" w:rsidP="000F5A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bookmarkEnd w:id="1"/>
    </w:p>
    <w:p w:rsidR="00366537" w:rsidRDefault="00366537" w:rsidP="000F5A81">
      <w:pPr>
        <w:ind w:left="6480" w:firstLine="0"/>
        <w:jc w:val="center"/>
        <w:rPr>
          <w:rStyle w:val="a"/>
          <w:rFonts w:ascii="Times New Roman" w:hAnsi="Times New Roman" w:cs="Times New Roman"/>
          <w:b w:val="0"/>
          <w:color w:val="000000"/>
        </w:rPr>
      </w:pPr>
    </w:p>
    <w:p w:rsidR="00366537" w:rsidRDefault="00366537" w:rsidP="000F5A81"/>
    <w:p w:rsidR="00366537" w:rsidRDefault="00366537" w:rsidP="000F5A81"/>
    <w:p w:rsidR="00366537" w:rsidRDefault="00366537" w:rsidP="00045010">
      <w:pPr>
        <w:jc w:val="right"/>
        <w:rPr>
          <w:rFonts w:ascii="Times New Roman" w:hAnsi="Times New Roman" w:cs="Times New Roman"/>
          <w:sz w:val="28"/>
          <w:szCs w:val="28"/>
        </w:rPr>
      </w:pPr>
      <w:r w:rsidRPr="0004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Приложение 2</w:t>
      </w:r>
    </w:p>
    <w:p w:rsidR="00366537" w:rsidRDefault="00366537" w:rsidP="000450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6537" w:rsidRDefault="00366537" w:rsidP="000450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Бельского района </w:t>
      </w:r>
    </w:p>
    <w:p w:rsidR="00366537" w:rsidRPr="00045010" w:rsidRDefault="00366537" w:rsidP="000450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28 » 07.2015 г. № 111</w:t>
      </w:r>
    </w:p>
    <w:p w:rsidR="00366537" w:rsidRDefault="00366537" w:rsidP="000F5A81"/>
    <w:p w:rsidR="00366537" w:rsidRDefault="00366537" w:rsidP="000F5A81"/>
    <w:p w:rsidR="00366537" w:rsidRDefault="00366537" w:rsidP="000F5A81"/>
    <w:p w:rsidR="00366537" w:rsidRDefault="00366537" w:rsidP="00045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66537" w:rsidRDefault="00366537" w:rsidP="000450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рабочей группе МО «Бельский район»  по построению, развитию и эксплуатации АПК «Безопасный город»</w:t>
      </w:r>
    </w:p>
    <w:p w:rsidR="00366537" w:rsidRDefault="00366537" w:rsidP="000450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537" w:rsidRDefault="00366537" w:rsidP="0004501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366537" w:rsidRDefault="00366537" w:rsidP="00F46D94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366537" w:rsidRDefault="00366537" w:rsidP="00ED6F2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Межведомственной рабочей группе МО «Бельский район»  по построению, развитию и эксплуатации АПК «Безопасный город» ( далее- межведомственная рабочая группа) является коллегиальным органом, обеспечивающим взаимодействие  с федеральными органами исполнительной власти, органами исполнительной власти Тверской области, органами местного самоуправления Бельского района, организациями и предприятиями, расположенными на территории  муниципального района (далее- органы и организации), по вопросам построения, развития и эксплуатации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аппаратно-программного комплекса  «Безопасный город»         ( далее АПК «Безопасный город»), на территории муниципального района.</w:t>
      </w:r>
    </w:p>
    <w:p w:rsidR="00366537" w:rsidRDefault="00366537" w:rsidP="00ED6F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Межведомственная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областными нормативно правовыми актами, а также настоящим Положением.</w:t>
      </w:r>
    </w:p>
    <w:p w:rsidR="00366537" w:rsidRDefault="00366537" w:rsidP="00F67DD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66537" w:rsidRPr="00ED6F2F" w:rsidRDefault="00366537" w:rsidP="00ED6F2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6F2F">
        <w:rPr>
          <w:rFonts w:ascii="Times New Roman" w:hAnsi="Times New Roman" w:cs="Times New Roman"/>
          <w:sz w:val="28"/>
          <w:szCs w:val="28"/>
        </w:rPr>
        <w:t>Задачи и функции межведомственной рабочей группы</w:t>
      </w:r>
    </w:p>
    <w:p w:rsidR="00366537" w:rsidRPr="00890029" w:rsidRDefault="00366537" w:rsidP="00890029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366537" w:rsidRDefault="00366537" w:rsidP="00ED6F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Основными задачами </w:t>
      </w:r>
      <w:r>
        <w:rPr>
          <w:rFonts w:ascii="Times New Roman" w:hAnsi="Times New Roman" w:cs="Times New Roman"/>
          <w:sz w:val="28"/>
          <w:szCs w:val="28"/>
        </w:rPr>
        <w:t>межведомственной рабочей группы являются:</w:t>
      </w:r>
    </w:p>
    <w:p w:rsidR="00366537" w:rsidRDefault="00366537" w:rsidP="00F67DD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проекта общей концепции построения и развития АПК «Безопасный город» на территории муниципального района;</w:t>
      </w:r>
    </w:p>
    <w:p w:rsidR="00366537" w:rsidRDefault="00366537" w:rsidP="00F67DD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 рамках своей компетенции вопросов формирования единого информационного пространства для защиты граждан, критически важных объектов и потенциально-опасных объектов инфраструктуры муниципального района от преступных посягательств и чрезвычайных ситуаций;</w:t>
      </w:r>
    </w:p>
    <w:p w:rsidR="00366537" w:rsidRDefault="00366537" w:rsidP="00F67DD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проектов единых требований к техническим параметрам сегментов обеспечения безопасности государственных и муниципальных органов и организаций, способствующих интеграции в систему АПК «Безопасный город»;</w:t>
      </w:r>
    </w:p>
    <w:p w:rsidR="00366537" w:rsidRDefault="00366537" w:rsidP="00F67DDF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обеспечению функционирования мероприятий, связанных построением, развитием, внедрением  и эксплуатацией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АПК «Безопасный город»  на территории муниципального района;</w:t>
      </w:r>
    </w:p>
    <w:p w:rsidR="00366537" w:rsidRDefault="00366537" w:rsidP="00623030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взаимодействия органов и организаций по вопросам, связанным с внедрением и развитием   АПК «Безопасный город»  на территории муниципального района;</w:t>
      </w:r>
    </w:p>
    <w:p w:rsidR="00366537" w:rsidRDefault="00366537" w:rsidP="00F67DD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предложений по разработке методики, программного и геоинформационного обеспечения, необходимых для профилактики угроз общественной безопасности, обеспечения защищенности    </w:t>
      </w:r>
      <w:r>
        <w:rPr>
          <w:rFonts w:ascii="Times New Roman" w:hAnsi="Times New Roman" w:cs="Times New Roman"/>
          <w:sz w:val="28"/>
          <w:szCs w:val="28"/>
        </w:rPr>
        <w:t>критически важных объектов и потенциально-опасных объектов инфраструктуры муниципального района, с использованием имеющихся баз данных и информационных систем.</w:t>
      </w:r>
    </w:p>
    <w:p w:rsidR="00366537" w:rsidRDefault="00366537" w:rsidP="00F67DD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межведомственную рабочую группу возлагаются следующие функции:</w:t>
      </w:r>
    </w:p>
    <w:p w:rsidR="00366537" w:rsidRDefault="00366537" w:rsidP="00890029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деятельности и обеспечение в пределах ее компетенции взаимодействия органов и организаций по вопросам совершенствования организации и проведения мероприятий, связанных с функционированием и развитием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АПК «Безопасный город»  на территории муниципального района;</w:t>
      </w:r>
    </w:p>
    <w:p w:rsidR="00366537" w:rsidRDefault="00366537" w:rsidP="00890029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- </w:t>
      </w:r>
      <w:r w:rsidRPr="00890029">
        <w:rPr>
          <w:rFonts w:ascii="Times New Roman" w:hAnsi="Times New Roman" w:cs="Times New Roman"/>
          <w:sz w:val="28"/>
          <w:szCs w:val="28"/>
        </w:rPr>
        <w:t>подготовка предложений по разработке проектов нормативных правовых актов, необходимых для решения вопросов  организации и координации мероприятий по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функционированию  и развитию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АПК «Безопасный город»  на территории муниципального района;</w:t>
      </w:r>
    </w:p>
    <w:p w:rsidR="00366537" w:rsidRDefault="00366537" w:rsidP="00890029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мониторинга реализации мероприятий муниципальных программ по </w:t>
      </w:r>
      <w:r w:rsidRPr="00890029">
        <w:rPr>
          <w:rFonts w:ascii="Times New Roman" w:hAnsi="Times New Roman" w:cs="Times New Roman"/>
          <w:sz w:val="28"/>
          <w:szCs w:val="28"/>
        </w:rPr>
        <w:t>дальнейшему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функционированию  и развитию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АПК «Безопасный город»  на территории муниципального района, а также анализа результатов реализации указанных мероприятий и выработка соответствующих рекомендаций для органов и организаций по повышению их эффективности;</w:t>
      </w:r>
    </w:p>
    <w:p w:rsidR="00366537" w:rsidRDefault="00366537" w:rsidP="00890029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оценка эффективности мероприятий </w:t>
      </w:r>
      <w:r w:rsidRPr="00890029">
        <w:rPr>
          <w:rFonts w:ascii="Times New Roman" w:hAnsi="Times New Roman" w:cs="Times New Roman"/>
          <w:sz w:val="28"/>
          <w:szCs w:val="28"/>
        </w:rPr>
        <w:t>по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функционированию  и развитию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АПК «Безопасный город»  на территории муниципального района, изучение опыта работы указанных систем в других субъектах Российской Федерации, а также опытных участков систем АПК «Безопасный город»   в пилотных регионах.</w:t>
      </w:r>
    </w:p>
    <w:p w:rsidR="00366537" w:rsidRDefault="00366537" w:rsidP="00890029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66537" w:rsidRDefault="00366537" w:rsidP="002F650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формирования и деятельности межведомственной</w:t>
      </w:r>
    </w:p>
    <w:p w:rsidR="00366537" w:rsidRDefault="00366537" w:rsidP="002F650B">
      <w:pPr>
        <w:pStyle w:val="ListParagraph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</w:p>
    <w:p w:rsidR="00366537" w:rsidRPr="002F650B" w:rsidRDefault="00366537" w:rsidP="002F650B">
      <w:pPr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537" w:rsidRPr="002F650B" w:rsidRDefault="00366537" w:rsidP="002F650B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Межведомственная рабочая группа формируется в составе руководителя межведомственной рабочей группы, заместителя руководителя межведомственной рабочей группы, секретаря  межведомственной рабочей группы и членов  межведомственной рабочей группы.</w:t>
      </w:r>
    </w:p>
    <w:p w:rsidR="00366537" w:rsidRDefault="00366537" w:rsidP="00890029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366537" w:rsidRPr="002F650B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50B">
        <w:rPr>
          <w:rFonts w:ascii="Times New Roman" w:hAnsi="Times New Roman" w:cs="Times New Roman"/>
          <w:color w:val="000000"/>
          <w:sz w:val="28"/>
          <w:szCs w:val="28"/>
        </w:rPr>
        <w:t>В состав  межведомственной рабочей группы могут входить представители органов и организаций.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50B">
        <w:rPr>
          <w:rFonts w:ascii="Times New Roman" w:hAnsi="Times New Roman" w:cs="Times New Roman"/>
          <w:color w:val="000000"/>
          <w:sz w:val="28"/>
          <w:szCs w:val="28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Руководителем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председатель КЧС и ОПБ Бельского района.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Порядок работы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руководителем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 его поручению заместителем руководителя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Руководитель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работу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обеспечивает контроль за  исполнением ее решений;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перечень, сроки и порядок рассмотрения вопросов на заседаниях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перспективное и текущее планирование работы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подготавливает доклады Главе  Администрации района по вопросам, входящим в компетенцию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представляет межведомственную рабочую группу при взаимодействии с органами и организациями, ведет с ними переписку.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В отсутствии руководителя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его поручению обязанности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руководителя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 заместитель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Секретарь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 xml:space="preserve"> 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мероприятия по планированию деятельности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 xml:space="preserve"> 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подготовку и проведение заседаний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доведение решений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сведения членов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органов и организаций, реализующих мероприятия, связанные с функционированием системы АПК «Безопасный город»;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по поручению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руководителя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решений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поручений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руководителя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оформляет протоколы заседаний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Межведомственная рабочая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осуществления своих функций имеет право: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взаимодействовать по вопросам, входящим  в компетенцию межведомственной рабочей группы, с соответствующими органами и организациями, получать от них в установленном порядке необходимые материалы и информацию;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заслушивать представителей органов и организаций по вопросам, отнесенных к компетенции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в установленном порядке к работе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аналитических и экспертных работ научные и иные организации, отдельных специалистов;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рабочие подгруппы по отдельным направлениям деятельности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Деятельность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планом, который ежегодно принимается на заседании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ее руководителем.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заседания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соответствии с планом ее деятельности, но не реже одного раза в квартал. При необходимости по решению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руководителя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внеочередные заседания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Члены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в ее заседании без права замены. В случае отсутствия члена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он вправе заблаговременно (не позднее чем за 3 дня до даты проведения заседания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) изложить свое мнение по рассматриваемым вопросам в письменном виде.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Заседание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межведомственной рабочей группы.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Подготовка материалов к заседанию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соответствующими органами и организациями, к ведению которых относятся вопросы повестки дня.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 Решение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простым большинством голосов присутствующих на заседании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равенства голосов решением является голос председательствующего на заседании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Решения, принимаемые на заседании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оформляются протоколом, который подписывается руководителем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его заместителем, председательствующим на заседании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Копия протокола заседания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рассылается ее членам.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Решения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принятые в пределах ее компетенции, обязательны для исполнения представленными в ней органами и организациями, реализующими мероприятия, связанные с функционированием систем АПК «Безопасный город» на территории муниципального района.</w:t>
      </w:r>
    </w:p>
    <w:p w:rsidR="00366537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3.15. Организационно-техническое.методическое и иное обеспечение деятельности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района.</w:t>
      </w:r>
    </w:p>
    <w:p w:rsidR="00366537" w:rsidRPr="002F650B" w:rsidRDefault="00366537" w:rsidP="002F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Межведомственная рабочая группа информирует органы и организации, реализующие мероприятия, связанные с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функционированием систем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АПК «Безопасный город», о принятых решениях путем направления выписки из протокола заседания   </w:t>
      </w:r>
      <w:r w:rsidRPr="002F650B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66537" w:rsidRPr="002F650B" w:rsidSect="00384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42D86"/>
    <w:multiLevelType w:val="multilevel"/>
    <w:tmpl w:val="42A2BF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81"/>
    <w:rsid w:val="000064CE"/>
    <w:rsid w:val="00045010"/>
    <w:rsid w:val="0008623D"/>
    <w:rsid w:val="000B4C46"/>
    <w:rsid w:val="000B5675"/>
    <w:rsid w:val="000F5A81"/>
    <w:rsid w:val="00107864"/>
    <w:rsid w:val="00176607"/>
    <w:rsid w:val="001F1E4F"/>
    <w:rsid w:val="00226011"/>
    <w:rsid w:val="0023176F"/>
    <w:rsid w:val="00233924"/>
    <w:rsid w:val="002F650B"/>
    <w:rsid w:val="00366537"/>
    <w:rsid w:val="00384787"/>
    <w:rsid w:val="00422192"/>
    <w:rsid w:val="00495321"/>
    <w:rsid w:val="0051635F"/>
    <w:rsid w:val="005768D4"/>
    <w:rsid w:val="00623030"/>
    <w:rsid w:val="006858DD"/>
    <w:rsid w:val="00890029"/>
    <w:rsid w:val="008B1F59"/>
    <w:rsid w:val="00936AAD"/>
    <w:rsid w:val="00A56922"/>
    <w:rsid w:val="00A71D67"/>
    <w:rsid w:val="00AA015A"/>
    <w:rsid w:val="00B55AAC"/>
    <w:rsid w:val="00C953B0"/>
    <w:rsid w:val="00E24B0B"/>
    <w:rsid w:val="00EC767B"/>
    <w:rsid w:val="00ED6F2F"/>
    <w:rsid w:val="00F1200C"/>
    <w:rsid w:val="00F30410"/>
    <w:rsid w:val="00F46D94"/>
    <w:rsid w:val="00F67DDF"/>
    <w:rsid w:val="00FB0986"/>
    <w:rsid w:val="00FC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A8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A8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0F5A81"/>
    <w:rPr>
      <w:b/>
      <w:color w:val="000080"/>
      <w:sz w:val="20"/>
    </w:rPr>
  </w:style>
  <w:style w:type="paragraph" w:customStyle="1" w:styleId="a0">
    <w:name w:val="Текст (лев. подпись)"/>
    <w:basedOn w:val="Normal"/>
    <w:next w:val="Normal"/>
    <w:uiPriority w:val="99"/>
    <w:rsid w:val="000F5A81"/>
    <w:pPr>
      <w:ind w:firstLine="0"/>
      <w:jc w:val="left"/>
    </w:pPr>
  </w:style>
  <w:style w:type="paragraph" w:customStyle="1" w:styleId="a1">
    <w:name w:val="Текст (прав. подпись)"/>
    <w:basedOn w:val="Normal"/>
    <w:next w:val="Normal"/>
    <w:uiPriority w:val="99"/>
    <w:rsid w:val="000F5A81"/>
    <w:pPr>
      <w:ind w:firstLine="0"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0F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A8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F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1592</Words>
  <Characters>9075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2</cp:revision>
  <cp:lastPrinted>2015-08-03T07:07:00Z</cp:lastPrinted>
  <dcterms:created xsi:type="dcterms:W3CDTF">2015-08-05T08:29:00Z</dcterms:created>
  <dcterms:modified xsi:type="dcterms:W3CDTF">2015-08-05T08:29:00Z</dcterms:modified>
</cp:coreProperties>
</file>